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AC1E1A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AC1E1A" w:rsidRPr="00AC1E1A">
        <w:rPr>
          <w:rFonts w:ascii="Arial Black" w:eastAsia="Times New Roman" w:hAnsi="Arial Black" w:cs="Times New Roman"/>
          <w:sz w:val="24"/>
          <w:szCs w:val="24"/>
          <w:lang w:eastAsia="pl-PL"/>
        </w:rPr>
        <w:t>Dz. nr –214/17 o pow. 0,1015 ha (w tym: R V – 0,0870 ha, R VI – 0,0145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673BD4"/>
    <w:rsid w:val="007A0C2D"/>
    <w:rsid w:val="007F5E9A"/>
    <w:rsid w:val="00926E8E"/>
    <w:rsid w:val="00A721D2"/>
    <w:rsid w:val="00AC1E1A"/>
    <w:rsid w:val="00AE0D57"/>
    <w:rsid w:val="00B70C67"/>
    <w:rsid w:val="00C31B2B"/>
    <w:rsid w:val="00D26409"/>
    <w:rsid w:val="00D6670E"/>
    <w:rsid w:val="00DC3A67"/>
    <w:rsid w:val="00DD6C5B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2022-02-15T08:40:00Z</dcterms:created>
  <dcterms:modified xsi:type="dcterms:W3CDTF">2022-02-15T08:40:00Z</dcterms:modified>
</cp:coreProperties>
</file>